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C3" w:rsidRPr="00D30FC3" w:rsidRDefault="00D30FC3" w:rsidP="00D30FC3">
      <w:pPr>
        <w:spacing w:after="300" w:line="39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005EA5"/>
          <w:kern w:val="36"/>
          <w:sz w:val="28"/>
          <w:szCs w:val="28"/>
          <w:lang w:eastAsia="ru-RU"/>
        </w:rPr>
      </w:pPr>
      <w:r w:rsidRPr="00D30FC3">
        <w:rPr>
          <w:rFonts w:ascii="Arial" w:eastAsia="Times New Roman" w:hAnsi="Arial" w:cs="Arial"/>
          <w:b/>
          <w:bCs/>
          <w:color w:val="005EA5"/>
          <w:kern w:val="36"/>
          <w:sz w:val="28"/>
          <w:szCs w:val="28"/>
          <w:lang w:eastAsia="ru-RU"/>
        </w:rPr>
        <w:t>Указание Банка России от 20.11.2015 N 3854-У (ред. от 21.08.2017) О минимальных (стандартных) требованиях к условиям и порядку осуществления отдельных видов добровольного страхования</w:t>
      </w:r>
    </w:p>
    <w:p w:rsidR="00D30FC3" w:rsidRPr="00D30FC3" w:rsidRDefault="00D30FC3" w:rsidP="00D30FC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0" w:name="100002"/>
      <w:bookmarkStart w:id="1" w:name="_GoBack"/>
      <w:bookmarkEnd w:id="0"/>
      <w:bookmarkEnd w:id="1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ЦЕНТРАЛЬНЫЙ БАНК РОССИЙСКОЙ ФЕДЕРАЦИИ</w:t>
      </w:r>
    </w:p>
    <w:p w:rsidR="00D30FC3" w:rsidRPr="00D30FC3" w:rsidRDefault="00D30FC3" w:rsidP="00D30FC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" w:name="100003"/>
      <w:bookmarkEnd w:id="2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УКАЗАНИЕ</w:t>
      </w:r>
    </w:p>
    <w:p w:rsidR="00D30FC3" w:rsidRPr="00D30FC3" w:rsidRDefault="00D30FC3" w:rsidP="00D30FC3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от 20 ноября 2015 г. N 3854-У</w:t>
      </w:r>
    </w:p>
    <w:p w:rsidR="00D30FC3" w:rsidRPr="00D30FC3" w:rsidRDefault="00D30FC3" w:rsidP="00D30FC3">
      <w:pPr>
        <w:spacing w:after="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3" w:name="100004"/>
      <w:bookmarkEnd w:id="3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 МИНИМАЛЬНЫХ (СТАНДАРТНЫХ) ТРЕБОВАНИЯХ</w:t>
      </w:r>
    </w:p>
    <w:p w:rsidR="00D30FC3" w:rsidRPr="00D30FC3" w:rsidRDefault="00D30FC3" w:rsidP="00D30FC3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К УСЛОВИЯМ И ПОРЯДКУ ОСУЩЕСТВЛЕНИЯ ОТДЕЛЬНЫХ ВИДОВ</w:t>
      </w:r>
    </w:p>
    <w:p w:rsidR="00D30FC3" w:rsidRPr="00D30FC3" w:rsidRDefault="00D30FC3" w:rsidP="00D30FC3">
      <w:pPr>
        <w:spacing w:after="180" w:line="330" w:lineRule="atLeast"/>
        <w:jc w:val="center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ДОБРОВОЛЬНОГО СТРАХОВАНИЯ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4" w:name="100005"/>
      <w:bookmarkEnd w:id="4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На основании </w:t>
      </w:r>
      <w:hyperlink r:id="rId5" w:anchor="000400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абзаца третьего пункта 3 статьи 3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Закона Российской Федерации от 27 ноября 1992 года N 4015-1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N 2, ст. 56; Собрание законодательства Российской Федерации, 1998, N 1, ст. 4; 1999, N 47, ст. 5622; 2002, N 12, ст. 1093; N 18, ст. 1721; 2003, N 50, ст. 4855, ст. 4858; 2004, N 30, ст. 3085; 2005, N 10, ст. 760; N 30, ст. 3101, ст. 3115; 2007, N 22, ст. 2563; N 46, ст. 5552; N 49, ст. 6048; 2009, N 44, ст. 5172; 2010, N 17, ст. 1988; N 31, ст. 4195; N 49, ст. 6409; 2011, N 30, ст. 4584; N 49, ст. 7040; 2012, N 53, ст. 7592; 2013, N 26, ст. 3207; N 30, ст. 4067; N 52, ст. 6975; 2014, N 23, ст. 2934; N 30, ст. 4224; N 45, ст. 6154; 2015, N 10, ст. 1409; N 27, ст. 4001; N 29, ст. 4385) (далее - Закон N 4015-1), Федерального </w:t>
      </w:r>
      <w:hyperlink r:id="rId6" w:anchor="100020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закона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от 10 июля 2002 года N 86-ФЗ "О Центральном банке Российской Федерации (Банке России)" (Собрание законодательства Российской Федерации, 2002, N 28, ст. 2790;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2003, N 2, ст. 157; N 52, ст. 5032; 2004, N 27, ст. 2711; N 31, ст. 3233; 2005, N 25, ст. 2426; N 30, ст. 3101; 2006, N 19, ст. 2061; N 25, ст. 2648; 2007, N 1, ст. 9, ст. 10; N 10, ст. 1151; N 18, ст. 2117;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2008, N 42, ст. 4696, ст. 4699; N 44, ст. 4982; N 52, ст. 6229, ст. 6231; 2009, N 1, ст. 25; N 29, ст. 3629; N 48, ст. 5731; 2010, N 45, ст. 5756; 2011, N 7, ст. 907; N 27, ст. 3873; N 43, ст. 5973; N 48, ст. 6728;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2012, N 50, ст. 6954; N 53, ст. 7591, ст. 7607; 2013, N 11, ст. 1076; N 14, ст. 1649; N 19, ст. 2329; N 27, ст. 3438, ст. 3476, ст. 3477; N 30, ст. 4084; N 49, ст. 6336; N 51, ст. 6695, ст. 6699; N 52, ст. 6975; 2014, N 19, ст. 2311, ст. 2317; N 27, ст. 3634; N 30, ст. 4219; N 45, ст. 6154; N 52, ст. 7543; 2015, N 1, ст. 4, ст. 37; N 27, ст. 3958, ст. 4001; N 29, ст. 4348;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N 41, ст. 5639) настоящее Указание устанавливает минимальные (стандартные) требования к условиям и порядку осуществления в отношении страхователей - физических лиц страхования жизни на случай смерти, дожития до определенного возраста или срока либо наступления иного события; страхования жизни с условием периодических страховых выплат (ренты, аннуитетов) и (или) с участием страхователя в инвестиционном доходе страховщика;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страхования от несчастных случаев и болезней; медицинского страхования; страхования средств наземного транспорта (за исключением средств железнодорожного транспорта); страхования имущества граждан, за исключением транспортных средств; страхования гражданской ответственности владельцев автотранспортных средств; страхования гражданской ответственности владельцев средств </w:t>
      </w: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lastRenderedPageBreak/>
        <w:t>водного транспорта; страхования гражданской ответственности за причинение вреда третьим лицам; страхования финансовых рисков (далее - добровольное страхование).</w:t>
      </w:r>
      <w:proofErr w:type="gramEnd"/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</w:pPr>
      <w:bookmarkStart w:id="5" w:name="000002"/>
      <w:bookmarkStart w:id="6" w:name="100006"/>
      <w:bookmarkEnd w:id="5"/>
      <w:bookmarkEnd w:id="6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1.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При осуществлении добровольного страхования (за исключением случаев осуществления добровольного страхования, предусмотренных </w:t>
      </w:r>
      <w:hyperlink r:id="rId7" w:anchor="100009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4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настоящего Указания) страховщик должен предусмотреть условие о возврате страхователю уплаченной страховой премии в порядке, установленном настоящим Указанием, в случае отказа страхователя от договора </w:t>
      </w:r>
      <w:r w:rsidRPr="00D30FC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>добровольного страхования в течение четырнадцати календарных дней со дня его заключения независимо от момента уплаты страховой премии, при отсутствии в данном периоде событий, имеющих</w:t>
      </w:r>
      <w:proofErr w:type="gramEnd"/>
      <w:r w:rsidRPr="00D30FC3">
        <w:rPr>
          <w:rFonts w:ascii="inherit" w:eastAsia="Times New Roman" w:hAnsi="inherit" w:cs="Arial"/>
          <w:b/>
          <w:color w:val="000000"/>
          <w:sz w:val="23"/>
          <w:szCs w:val="23"/>
          <w:lang w:eastAsia="ru-RU"/>
        </w:rPr>
        <w:t xml:space="preserve"> признаки страхового случая.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7" w:name="100007"/>
      <w:bookmarkEnd w:id="7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2. Страховщик при осуществлении добровольного страхования вправе предусмотреть более длительный срок, чем срок, установленный </w:t>
      </w:r>
      <w:hyperlink r:id="rId8" w:anchor="100006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настоящего Указания.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8" w:name="100008"/>
      <w:bookmarkEnd w:id="8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3. Условие, предусмотренное </w:t>
      </w:r>
      <w:hyperlink r:id="rId9" w:anchor="100006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 настоящего Указания,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применяется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в том числе при осуществлении добровольного страхования в порядке, установленном </w:t>
      </w:r>
      <w:hyperlink r:id="rId10" w:anchor="000413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8 статьи 4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Закона N 4015-1.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9" w:name="100009"/>
      <w:bookmarkEnd w:id="9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4. Требования настоящего Указания не распространяются на следующие случаи осуществления добровольного страхования: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0" w:name="100010"/>
      <w:bookmarkEnd w:id="10"/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осуществление добровольного медицинского страхования иностранных граждан и лиц без гражданства, находящихся на территории Российской Федерации с целью осуществления ими трудовой деятельности;</w:t>
      </w:r>
      <w:proofErr w:type="gramEnd"/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1" w:name="100011"/>
      <w:bookmarkEnd w:id="11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осуществление добровольного страхования, предусматривающего оплату оказанной гражданину Российской Федерации, находящемуся за пределами территории Российской Федерации, медицинской помощи и (или) оплату возвращения его тела (останков) в Российскую Федерацию;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2" w:name="100012"/>
      <w:bookmarkEnd w:id="12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осуществление добровольного страхования, являющегося обязательным условием допуска физического лица к выполнению профессиональной деятельности в соответствии с законодательством Российской Федерации;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3" w:name="000001"/>
      <w:bookmarkEnd w:id="13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осуществление добровольного страхования гражданской ответственности владельцев транспортных средств в рамках международных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систем страхования гражданской ответственности владельцев транспортных средств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4" w:name="100013"/>
      <w:bookmarkEnd w:id="14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5. Страховщик при осуществлении добровольного страхования должен предусмотреть, что в случае если страхователь отказался от договора добровольного страхования в срок, установленный </w:t>
      </w:r>
      <w:hyperlink r:id="rId11" w:anchor="100006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настоящего Указания, и до даты возникновения обязатель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ств стр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аховщика по заключенному договору страхования (далее - дата начала действия страхования), уплаченная страховая премия подлежит возврату страховщиком страхователю в полном объеме.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5" w:name="100014"/>
      <w:bookmarkEnd w:id="15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6.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Страховщик при осуществлении добровольного страхования должен предусмотреть, что в случае если страхователь отказался от договора добровольного страхования в срок, установленный </w:t>
      </w:r>
      <w:hyperlink r:id="rId12" w:anchor="100006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 настоящего Указания, но после даты начала действия страхования, страховщик при возврате уплаченной страховой премии страхователю вправе удержать ее часть пропорционально сроку действия договора страхования, прошедшему с даты начала действия страхования до даты прекращения действия договора добровольного страхования.</w:t>
      </w:r>
      <w:proofErr w:type="gramEnd"/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6" w:name="100015"/>
      <w:bookmarkEnd w:id="16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7. Страховщик при осуществлении добровольного страхования должен предусмотреть условие о том, что договор добровольного страхования считается прекратившим свое действие </w:t>
      </w:r>
      <w:proofErr w:type="gramStart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с даты получения</w:t>
      </w:r>
      <w:proofErr w:type="gramEnd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 xml:space="preserve"> страховщиком письменного заявления страхователя об отказе от договора добровольного страхования или иной даты, установленной по соглашению сторон, но не позднее срока, определенного в соответствии с </w:t>
      </w:r>
      <w:hyperlink r:id="rId13" w:anchor="100006" w:history="1">
        <w:r w:rsidRPr="00D30FC3">
          <w:rPr>
            <w:rFonts w:ascii="inherit" w:eastAsia="Times New Roman" w:hAnsi="inherit" w:cs="Arial"/>
            <w:color w:val="005EA5"/>
            <w:sz w:val="23"/>
            <w:szCs w:val="23"/>
            <w:u w:val="single"/>
            <w:bdr w:val="none" w:sz="0" w:space="0" w:color="auto" w:frame="1"/>
            <w:lang w:eastAsia="ru-RU"/>
          </w:rPr>
          <w:t>пунктом 1</w:t>
        </w:r>
      </w:hyperlink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настоящего Указания.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7" w:name="100016"/>
      <w:bookmarkEnd w:id="17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8. Страховщик при осуществлении добровольного страхования должен предусмотреть условие о возврате страхователю страховой премии по выбору страхователя наличными деньгами или в безналичном порядке в срок, не превышающий 10 рабочих дней со дня получения письменного заявления страхователя об отказе от договора добровольного страхования.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8" w:name="100017"/>
      <w:bookmarkEnd w:id="18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9. Настоящее Указание вступает в силу по истечении 10 дней после дня его официального опубликования в "Вестнике Банка России".</w:t>
      </w:r>
    </w:p>
    <w:p w:rsidR="00D30FC3" w:rsidRPr="00D30FC3" w:rsidRDefault="00D30FC3" w:rsidP="00D30FC3">
      <w:pPr>
        <w:spacing w:after="0" w:line="330" w:lineRule="atLeast"/>
        <w:jc w:val="both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19" w:name="100018"/>
      <w:bookmarkEnd w:id="19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10. Страховщики обязаны привести свою деятельность по вновь заключаемым договорам добровольного страхования в соответствии с требованиями настоящего Указания в течение 90 дней со дня вступления его в силу.</w:t>
      </w:r>
    </w:p>
    <w:p w:rsidR="00D30FC3" w:rsidRPr="00D30FC3" w:rsidRDefault="00D30FC3" w:rsidP="00D30FC3">
      <w:pPr>
        <w:spacing w:after="0" w:line="330" w:lineRule="atLeast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bookmarkStart w:id="20" w:name="100019"/>
      <w:bookmarkEnd w:id="20"/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Председатель Центрального банка</w:t>
      </w:r>
    </w:p>
    <w:p w:rsidR="00D30FC3" w:rsidRPr="00D30FC3" w:rsidRDefault="00D30FC3" w:rsidP="00D30FC3">
      <w:pPr>
        <w:spacing w:after="180" w:line="330" w:lineRule="atLeast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Российской Федерации</w:t>
      </w:r>
    </w:p>
    <w:p w:rsidR="00D30FC3" w:rsidRPr="00D30FC3" w:rsidRDefault="00D30FC3" w:rsidP="00D30FC3">
      <w:pPr>
        <w:spacing w:after="180" w:line="330" w:lineRule="atLeast"/>
        <w:jc w:val="right"/>
        <w:textAlignment w:val="baseline"/>
        <w:rPr>
          <w:rFonts w:ascii="inherit" w:eastAsia="Times New Roman" w:hAnsi="inherit" w:cs="Arial"/>
          <w:color w:val="000000"/>
          <w:sz w:val="23"/>
          <w:szCs w:val="23"/>
          <w:lang w:eastAsia="ru-RU"/>
        </w:rPr>
      </w:pPr>
      <w:r w:rsidRPr="00D30FC3">
        <w:rPr>
          <w:rFonts w:ascii="inherit" w:eastAsia="Times New Roman" w:hAnsi="inherit" w:cs="Arial"/>
          <w:color w:val="000000"/>
          <w:sz w:val="23"/>
          <w:szCs w:val="23"/>
          <w:lang w:eastAsia="ru-RU"/>
        </w:rPr>
        <w:t>Э.С.НАБИУЛЛИНА</w:t>
      </w:r>
    </w:p>
    <w:p w:rsidR="00F432B8" w:rsidRDefault="00F432B8"/>
    <w:sectPr w:rsidR="00F43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429"/>
    <w:rsid w:val="00217429"/>
    <w:rsid w:val="00D30FC3"/>
    <w:rsid w:val="00F4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8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ukazanie-banka-rossii-ot-20112015-n-3854-u/" TargetMode="External"/><Relationship Id="rId13" Type="http://schemas.openxmlformats.org/officeDocument/2006/relationships/hyperlink" Target="http://legalacts.ru/doc/ukazanie-banka-rossii-ot-20112015-n-3854-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alacts.ru/doc/ukazanie-banka-rossii-ot-20112015-n-3854-u/" TargetMode="External"/><Relationship Id="rId12" Type="http://schemas.openxmlformats.org/officeDocument/2006/relationships/hyperlink" Target="http://legalacts.ru/doc/ukazanie-banka-rossii-ot-20112015-n-3854-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egalacts.ru/doc/federalnyi-zakon-ot-10072002-n-86-fz-o/" TargetMode="External"/><Relationship Id="rId11" Type="http://schemas.openxmlformats.org/officeDocument/2006/relationships/hyperlink" Target="http://legalacts.ru/doc/ukazanie-banka-rossii-ot-20112015-n-3854-u/" TargetMode="External"/><Relationship Id="rId5" Type="http://schemas.openxmlformats.org/officeDocument/2006/relationships/hyperlink" Target="http://legalacts.ru/doc/zakon-rf-ot-27111992-n-4015-1-o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legalacts.ru/doc/zakon-rf-ot-27111992-n-4015-1-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alacts.ru/doc/ukazanie-banka-rossii-ot-20112015-n-3854-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1192</Words>
  <Characters>6801</Characters>
  <Application>Microsoft Office Word</Application>
  <DocSecurity>0</DocSecurity>
  <Lines>56</Lines>
  <Paragraphs>15</Paragraphs>
  <ScaleCrop>false</ScaleCrop>
  <Company/>
  <LinksUpToDate>false</LinksUpToDate>
  <CharactersWithSpaces>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2</cp:revision>
  <dcterms:created xsi:type="dcterms:W3CDTF">2018-02-27T11:28:00Z</dcterms:created>
  <dcterms:modified xsi:type="dcterms:W3CDTF">2018-02-27T11:29:00Z</dcterms:modified>
</cp:coreProperties>
</file>